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C5C" w:rsidRDefault="00094C5C" w:rsidP="00094C5C">
      <w:pPr>
        <w:pStyle w:val="NormalWeb"/>
        <w:kinsoku w:val="0"/>
        <w:overflowPunct w:val="0"/>
        <w:spacing w:before="0" w:beforeAutospacing="0" w:after="0" w:afterAutospacing="0"/>
        <w:textAlignment w:val="baseline"/>
        <w:rPr>
          <w:rFonts w:ascii="Arial" w:eastAsia="+mn-ea" w:hAnsi="Arial" w:cs="+mn-cs"/>
          <w:iCs/>
          <w:color w:val="000000"/>
          <w:kern w:val="24"/>
        </w:rPr>
      </w:pPr>
      <w:bookmarkStart w:id="0" w:name="_GoBack"/>
      <w:bookmarkEnd w:id="0"/>
      <w:r>
        <w:rPr>
          <w:rFonts w:ascii="Arial" w:eastAsia="+mn-ea" w:hAnsi="Arial" w:cs="+mn-cs"/>
          <w:iCs/>
          <w:color w:val="000000"/>
          <w:kern w:val="24"/>
        </w:rPr>
        <w:t xml:space="preserve">Abstract for Undiagnosed Diseases Network International Conference, New </w:t>
      </w:r>
      <w:proofErr w:type="spellStart"/>
      <w:r>
        <w:rPr>
          <w:rFonts w:ascii="Arial" w:eastAsia="+mn-ea" w:hAnsi="Arial" w:cs="+mn-cs"/>
          <w:iCs/>
          <w:color w:val="000000"/>
          <w:kern w:val="24"/>
        </w:rPr>
        <w:t>Dehli</w:t>
      </w:r>
      <w:proofErr w:type="spellEnd"/>
      <w:r>
        <w:rPr>
          <w:rFonts w:ascii="Arial" w:eastAsia="+mn-ea" w:hAnsi="Arial" w:cs="+mn-cs"/>
          <w:iCs/>
          <w:color w:val="000000"/>
          <w:kern w:val="24"/>
        </w:rPr>
        <w:t xml:space="preserve">, India </w:t>
      </w:r>
    </w:p>
    <w:p w:rsidR="00094C5C" w:rsidRDefault="00094C5C" w:rsidP="00094C5C">
      <w:pPr>
        <w:pStyle w:val="NormalWeb"/>
        <w:kinsoku w:val="0"/>
        <w:overflowPunct w:val="0"/>
        <w:spacing w:before="0" w:beforeAutospacing="0" w:after="0" w:afterAutospacing="0"/>
        <w:textAlignment w:val="baseline"/>
        <w:rPr>
          <w:rFonts w:ascii="Arial" w:eastAsia="+mn-ea" w:hAnsi="Arial" w:cs="+mn-cs"/>
          <w:iCs/>
          <w:color w:val="000000"/>
          <w:kern w:val="24"/>
        </w:rPr>
      </w:pPr>
    </w:p>
    <w:p w:rsidR="00094C5C" w:rsidRDefault="00094C5C" w:rsidP="00094C5C">
      <w:pPr>
        <w:pStyle w:val="NormalWeb"/>
        <w:kinsoku w:val="0"/>
        <w:overflowPunct w:val="0"/>
        <w:spacing w:before="0" w:beforeAutospacing="0" w:after="0" w:afterAutospacing="0"/>
        <w:textAlignment w:val="baseline"/>
        <w:rPr>
          <w:rFonts w:ascii="Arial" w:eastAsia="+mn-ea" w:hAnsi="Arial" w:cs="+mn-cs"/>
          <w:iCs/>
          <w:color w:val="000000"/>
          <w:kern w:val="24"/>
        </w:rPr>
      </w:pPr>
      <w:r>
        <w:rPr>
          <w:rFonts w:ascii="Arial" w:eastAsia="+mn-ea" w:hAnsi="Arial" w:cs="+mn-cs"/>
          <w:iCs/>
          <w:color w:val="000000"/>
          <w:kern w:val="24"/>
        </w:rPr>
        <w:t>Solved case, Poster or Short oral case presentation</w:t>
      </w:r>
    </w:p>
    <w:p w:rsidR="00094C5C" w:rsidRDefault="00094C5C" w:rsidP="00094C5C">
      <w:pPr>
        <w:pStyle w:val="NormalWeb"/>
        <w:kinsoku w:val="0"/>
        <w:overflowPunct w:val="0"/>
        <w:spacing w:before="0" w:beforeAutospacing="0" w:after="0" w:afterAutospacing="0"/>
        <w:textAlignment w:val="baseline"/>
        <w:rPr>
          <w:rFonts w:ascii="Arial" w:eastAsia="+mn-ea" w:hAnsi="Arial" w:cs="+mn-cs"/>
          <w:iCs/>
          <w:color w:val="000000"/>
          <w:kern w:val="24"/>
        </w:rPr>
      </w:pPr>
    </w:p>
    <w:p w:rsidR="00094C5C" w:rsidRDefault="00094C5C" w:rsidP="00094C5C">
      <w:pPr>
        <w:pStyle w:val="NormalWeb"/>
        <w:kinsoku w:val="0"/>
        <w:overflowPunct w:val="0"/>
        <w:spacing w:before="0" w:beforeAutospacing="0" w:after="0" w:afterAutospacing="0"/>
        <w:textAlignment w:val="baseline"/>
        <w:rPr>
          <w:rFonts w:ascii="Arial" w:eastAsia="+mn-ea" w:hAnsi="Arial" w:cs="+mn-cs"/>
          <w:iCs/>
          <w:color w:val="000000"/>
          <w:kern w:val="24"/>
        </w:rPr>
      </w:pPr>
      <w:r>
        <w:rPr>
          <w:rFonts w:ascii="Arial" w:eastAsia="+mn-ea" w:hAnsi="Arial" w:cs="+mn-cs"/>
          <w:iCs/>
          <w:color w:val="000000"/>
          <w:kern w:val="24"/>
        </w:rPr>
        <w:t>Danica Novacic, Undiagnosed Diseases Network, National Institutes of Health, Human Genome Research Institute, Bethesda, MD 20892</w:t>
      </w:r>
    </w:p>
    <w:p w:rsidR="00094C5C" w:rsidRDefault="00094C5C" w:rsidP="00094C5C">
      <w:pPr>
        <w:pStyle w:val="NormalWeb"/>
        <w:kinsoku w:val="0"/>
        <w:overflowPunct w:val="0"/>
        <w:spacing w:before="0" w:beforeAutospacing="0" w:after="0" w:afterAutospacing="0"/>
        <w:textAlignment w:val="baseline"/>
        <w:rPr>
          <w:rFonts w:ascii="Arial" w:eastAsia="+mn-ea" w:hAnsi="Arial" w:cs="+mn-cs"/>
          <w:iCs/>
          <w:color w:val="000000"/>
          <w:kern w:val="24"/>
        </w:rPr>
      </w:pPr>
    </w:p>
    <w:p w:rsidR="007C2908" w:rsidRDefault="007C2908" w:rsidP="00094C5C">
      <w:pPr>
        <w:pStyle w:val="NormalWeb"/>
        <w:kinsoku w:val="0"/>
        <w:overflowPunct w:val="0"/>
        <w:spacing w:before="0" w:beforeAutospacing="0" w:after="0" w:afterAutospacing="0"/>
        <w:textAlignment w:val="baseline"/>
        <w:rPr>
          <w:rFonts w:ascii="Arial" w:eastAsia="+mn-ea" w:hAnsi="Arial" w:cs="+mn-cs"/>
          <w:iCs/>
          <w:color w:val="000000"/>
          <w:kern w:val="24"/>
        </w:rPr>
      </w:pPr>
      <w:r>
        <w:rPr>
          <w:rFonts w:ascii="Arial" w:eastAsia="+mn-ea" w:hAnsi="Arial" w:cs="+mn-cs"/>
          <w:iCs/>
          <w:color w:val="000000"/>
          <w:kern w:val="24"/>
        </w:rPr>
        <w:t xml:space="preserve">Variations in Topoisomerase TOP3A Cause Mitochondrial Disease Thru Impaired Mitochondrial Genome Decatenation </w:t>
      </w:r>
    </w:p>
    <w:p w:rsidR="007C2908" w:rsidRDefault="007C2908" w:rsidP="00094C5C">
      <w:pPr>
        <w:pStyle w:val="NormalWeb"/>
        <w:kinsoku w:val="0"/>
        <w:overflowPunct w:val="0"/>
        <w:spacing w:before="0" w:beforeAutospacing="0" w:after="0" w:afterAutospacing="0"/>
        <w:textAlignment w:val="baseline"/>
        <w:rPr>
          <w:rFonts w:ascii="Arial" w:eastAsia="+mn-ea" w:hAnsi="Arial" w:cs="+mn-cs"/>
          <w:iCs/>
          <w:color w:val="000000"/>
          <w:kern w:val="24"/>
        </w:rPr>
      </w:pPr>
    </w:p>
    <w:p w:rsidR="00094C5C" w:rsidRPr="00094C5C" w:rsidRDefault="00094C5C" w:rsidP="00094C5C">
      <w:pPr>
        <w:pStyle w:val="NormalWeb"/>
        <w:kinsoku w:val="0"/>
        <w:overflowPunct w:val="0"/>
        <w:spacing w:before="0" w:beforeAutospacing="0" w:after="0" w:afterAutospacing="0"/>
        <w:textAlignment w:val="baseline"/>
      </w:pPr>
      <w:r w:rsidRPr="00094C5C">
        <w:rPr>
          <w:rFonts w:ascii="Arial" w:eastAsia="+mn-ea" w:hAnsi="Arial" w:cs="+mn-cs"/>
          <w:iCs/>
          <w:color w:val="000000"/>
          <w:kern w:val="24"/>
        </w:rPr>
        <w:t>Abstract:</w:t>
      </w:r>
    </w:p>
    <w:p w:rsidR="002132AC" w:rsidRDefault="00094C5C" w:rsidP="002132AC">
      <w:pPr>
        <w:pStyle w:val="NormalWeb"/>
        <w:kinsoku w:val="0"/>
        <w:overflowPunct w:val="0"/>
        <w:spacing w:before="0" w:beforeAutospacing="0" w:after="0" w:afterAutospacing="0"/>
        <w:textAlignment w:val="baseline"/>
        <w:rPr>
          <w:rFonts w:ascii="Arial" w:eastAsia="+mn-ea" w:hAnsi="Arial" w:cs="+mn-cs"/>
          <w:iCs/>
          <w:color w:val="000000"/>
          <w:kern w:val="24"/>
        </w:rPr>
      </w:pPr>
      <w:r w:rsidRPr="00094C5C">
        <w:rPr>
          <w:rFonts w:ascii="Arial" w:eastAsia="+mn-ea" w:hAnsi="Arial" w:cs="+mn-cs"/>
          <w:iCs/>
          <w:color w:val="000000"/>
          <w:kern w:val="24"/>
        </w:rPr>
        <w:t>The Undiagnosed Diseases Network, funded by the National Institutes of Health Common Fund, evaluates and preforms genetic sequencing on patients who lack a diagnosis despite a complete clinical work up at outside academic centers.  We present a case report of a 40 year</w:t>
      </w:r>
      <w:r>
        <w:rPr>
          <w:rFonts w:ascii="Arial" w:eastAsia="+mn-ea" w:hAnsi="Arial" w:cs="+mn-cs"/>
          <w:iCs/>
          <w:color w:val="000000"/>
          <w:kern w:val="24"/>
        </w:rPr>
        <w:t>s</w:t>
      </w:r>
      <w:r w:rsidRPr="00094C5C">
        <w:rPr>
          <w:rFonts w:ascii="Arial" w:eastAsia="+mn-ea" w:hAnsi="Arial" w:cs="+mn-cs"/>
          <w:iCs/>
          <w:color w:val="000000"/>
          <w:kern w:val="24"/>
        </w:rPr>
        <w:t xml:space="preserve"> old woman admitted to our protocol for evaluation of her slowly progressive multisystemic illness which was clinically suggestive of a mitochondrial disease.  Her symptoms included ptosis, ataxia, dysphagia, cardiac cond</w:t>
      </w:r>
      <w:r>
        <w:rPr>
          <w:rFonts w:ascii="Arial" w:eastAsia="+mn-ea" w:hAnsi="Arial" w:cs="+mn-cs"/>
          <w:iCs/>
          <w:color w:val="000000"/>
          <w:kern w:val="24"/>
        </w:rPr>
        <w:t>uction abnormalities, polyneurop</w:t>
      </w:r>
      <w:r w:rsidRPr="00094C5C">
        <w:rPr>
          <w:rFonts w:ascii="Arial" w:eastAsia="+mn-ea" w:hAnsi="Arial" w:cs="+mn-cs"/>
          <w:iCs/>
          <w:color w:val="000000"/>
          <w:kern w:val="24"/>
        </w:rPr>
        <w:t>at</w:t>
      </w:r>
      <w:r>
        <w:rPr>
          <w:rFonts w:ascii="Arial" w:eastAsia="+mn-ea" w:hAnsi="Arial" w:cs="+mn-cs"/>
          <w:iCs/>
          <w:color w:val="000000"/>
          <w:kern w:val="24"/>
        </w:rPr>
        <w:t>h</w:t>
      </w:r>
      <w:r w:rsidRPr="00094C5C">
        <w:rPr>
          <w:rFonts w:ascii="Arial" w:eastAsia="+mn-ea" w:hAnsi="Arial" w:cs="+mn-cs"/>
          <w:iCs/>
          <w:color w:val="000000"/>
          <w:kern w:val="24"/>
        </w:rPr>
        <w:t>y and muscle atrophy.  Muscle biopsy revealed mitochondrial depletion and a 5kb deletion in her mitochondrial genome.  Other systemic biochemical testing was also suggestive of mitochondrial disease</w:t>
      </w:r>
      <w:r>
        <w:rPr>
          <w:rFonts w:ascii="Arial" w:eastAsia="+mn-ea" w:hAnsi="Arial" w:cs="+mn-cs"/>
          <w:iCs/>
          <w:color w:val="000000"/>
          <w:kern w:val="24"/>
        </w:rPr>
        <w:t>, but the cause was not known</w:t>
      </w:r>
      <w:r w:rsidR="004F1B99">
        <w:rPr>
          <w:rFonts w:ascii="Arial" w:eastAsia="+mn-ea" w:hAnsi="Arial" w:cs="+mn-cs"/>
          <w:iCs/>
          <w:color w:val="000000"/>
          <w:kern w:val="24"/>
        </w:rPr>
        <w:t>,</w:t>
      </w:r>
      <w:r>
        <w:rPr>
          <w:rFonts w:ascii="Arial" w:eastAsia="+mn-ea" w:hAnsi="Arial" w:cs="+mn-cs"/>
          <w:iCs/>
          <w:color w:val="000000"/>
          <w:kern w:val="24"/>
        </w:rPr>
        <w:t xml:space="preserve"> and a firm diagnosis could not be made</w:t>
      </w:r>
      <w:r w:rsidRPr="00094C5C">
        <w:rPr>
          <w:rFonts w:ascii="Arial" w:eastAsia="+mn-ea" w:hAnsi="Arial" w:cs="+mn-cs"/>
          <w:iCs/>
          <w:color w:val="000000"/>
          <w:kern w:val="24"/>
        </w:rPr>
        <w:t xml:space="preserve">. We then preformed family whole genome sequencing including her unaffected parents and sibling.  This revealed two </w:t>
      </w:r>
      <w:r w:rsidR="007C2908">
        <w:rPr>
          <w:rFonts w:ascii="Arial" w:eastAsia="+mn-ea" w:hAnsi="Arial" w:cs="+mn-cs"/>
          <w:iCs/>
          <w:color w:val="000000"/>
          <w:kern w:val="24"/>
        </w:rPr>
        <w:t xml:space="preserve">pathologic </w:t>
      </w:r>
      <w:proofErr w:type="spellStart"/>
      <w:r w:rsidRPr="00094C5C">
        <w:rPr>
          <w:rFonts w:ascii="Arial" w:eastAsia="+mn-ea" w:hAnsi="Arial" w:cs="+mn-cs"/>
          <w:iCs/>
          <w:color w:val="000000"/>
          <w:kern w:val="24"/>
        </w:rPr>
        <w:t>biallelic</w:t>
      </w:r>
      <w:proofErr w:type="spellEnd"/>
      <w:r w:rsidRPr="00094C5C">
        <w:rPr>
          <w:rFonts w:ascii="Arial" w:eastAsia="+mn-ea" w:hAnsi="Arial" w:cs="+mn-cs"/>
          <w:iCs/>
          <w:color w:val="000000"/>
          <w:kern w:val="24"/>
        </w:rPr>
        <w:t xml:space="preserve"> compound heterozygous changes in the TOP3A gene inherited one ea</w:t>
      </w:r>
      <w:r w:rsidR="00FE2AE8">
        <w:rPr>
          <w:rFonts w:ascii="Arial" w:eastAsia="+mn-ea" w:hAnsi="Arial" w:cs="+mn-cs"/>
          <w:iCs/>
          <w:color w:val="000000"/>
          <w:kern w:val="24"/>
        </w:rPr>
        <w:t>ch from her unaffected parents.</w:t>
      </w:r>
      <w:r w:rsidRPr="00094C5C">
        <w:rPr>
          <w:rFonts w:ascii="Arial" w:eastAsia="+mn-ea" w:hAnsi="Arial" w:cs="+mn-cs"/>
          <w:iCs/>
          <w:color w:val="000000"/>
          <w:kern w:val="24"/>
        </w:rPr>
        <w:t xml:space="preserve"> TOP3A is a nuclear encoded topoisomerase recently found to be important for decatenation of m</w:t>
      </w:r>
      <w:r>
        <w:rPr>
          <w:rFonts w:ascii="Arial" w:eastAsia="+mn-ea" w:hAnsi="Arial" w:cs="+mn-cs"/>
          <w:iCs/>
          <w:color w:val="000000"/>
          <w:kern w:val="24"/>
        </w:rPr>
        <w:t xml:space="preserve">itochondrial genomes.  The failure of decatenation </w:t>
      </w:r>
      <w:r w:rsidR="004F1B99">
        <w:rPr>
          <w:rFonts w:ascii="Arial" w:eastAsia="+mn-ea" w:hAnsi="Arial" w:cs="+mn-cs"/>
          <w:iCs/>
          <w:color w:val="000000"/>
          <w:kern w:val="24"/>
        </w:rPr>
        <w:t xml:space="preserve">in duplicated mitochondrial genomes </w:t>
      </w:r>
      <w:r>
        <w:rPr>
          <w:rFonts w:ascii="Arial" w:eastAsia="+mn-ea" w:hAnsi="Arial" w:cs="+mn-cs"/>
          <w:iCs/>
          <w:color w:val="000000"/>
          <w:kern w:val="24"/>
        </w:rPr>
        <w:t>leads to nucleoid clumping and then poor fusion of mitochondria</w:t>
      </w:r>
      <w:r w:rsidR="004F1B99">
        <w:rPr>
          <w:rFonts w:ascii="Arial" w:eastAsia="+mn-ea" w:hAnsi="Arial" w:cs="+mn-cs"/>
          <w:iCs/>
          <w:color w:val="000000"/>
          <w:kern w:val="24"/>
        </w:rPr>
        <w:t>. This ultimately results in deletions, depletion and large misshapen mitochondrial structures</w:t>
      </w:r>
      <w:r>
        <w:rPr>
          <w:rFonts w:ascii="Arial" w:eastAsia="+mn-ea" w:hAnsi="Arial" w:cs="+mn-cs"/>
          <w:iCs/>
          <w:color w:val="000000"/>
          <w:kern w:val="24"/>
        </w:rPr>
        <w:t>. Although</w:t>
      </w:r>
      <w:r w:rsidRPr="00094C5C">
        <w:rPr>
          <w:rFonts w:ascii="Arial" w:eastAsia="+mn-ea" w:hAnsi="Arial" w:cs="+mn-cs"/>
          <w:iCs/>
          <w:color w:val="000000"/>
          <w:kern w:val="24"/>
        </w:rPr>
        <w:t xml:space="preserve"> her specific changes have not previously been described, this is a second human case where </w:t>
      </w:r>
      <w:proofErr w:type="spellStart"/>
      <w:r w:rsidRPr="00094C5C">
        <w:rPr>
          <w:rFonts w:ascii="Arial" w:eastAsia="+mn-ea" w:hAnsi="Arial" w:cs="+mn-cs"/>
          <w:iCs/>
          <w:color w:val="000000"/>
          <w:kern w:val="24"/>
        </w:rPr>
        <w:t>biallelic</w:t>
      </w:r>
      <w:proofErr w:type="spellEnd"/>
      <w:r w:rsidRPr="00094C5C">
        <w:rPr>
          <w:rFonts w:ascii="Arial" w:eastAsia="+mn-ea" w:hAnsi="Arial" w:cs="+mn-cs"/>
          <w:iCs/>
          <w:color w:val="000000"/>
          <w:kern w:val="24"/>
        </w:rPr>
        <w:t xml:space="preserve"> pathologic TOP3A defects manifest as mitochondrial disease.  Nicholls TJ et al, 2018 previously reported a patient who had similar symptoms and muscle restricted mitochondrial deletions.  They also showed </w:t>
      </w:r>
      <w:proofErr w:type="spellStart"/>
      <w:r w:rsidRPr="00094C5C">
        <w:rPr>
          <w:rFonts w:ascii="Arial" w:eastAsia="+mn-ea" w:hAnsi="Arial" w:cs="+mn-cs"/>
          <w:iCs/>
          <w:color w:val="000000"/>
          <w:kern w:val="24"/>
        </w:rPr>
        <w:t>mtDNA</w:t>
      </w:r>
      <w:proofErr w:type="spellEnd"/>
      <w:r w:rsidRPr="00094C5C">
        <w:rPr>
          <w:rFonts w:ascii="Arial" w:eastAsia="+mn-ea" w:hAnsi="Arial" w:cs="+mn-cs"/>
          <w:iCs/>
          <w:color w:val="000000"/>
          <w:kern w:val="24"/>
        </w:rPr>
        <w:t xml:space="preserve"> depletion in cultured cells.  Our patient has </w:t>
      </w:r>
      <w:proofErr w:type="gramStart"/>
      <w:r w:rsidRPr="00094C5C">
        <w:rPr>
          <w:rFonts w:ascii="Arial" w:eastAsia="+mn-ea" w:hAnsi="Arial" w:cs="+mn-cs"/>
          <w:iCs/>
          <w:color w:val="000000"/>
          <w:kern w:val="24"/>
        </w:rPr>
        <w:t>both of these</w:t>
      </w:r>
      <w:proofErr w:type="gramEnd"/>
      <w:r w:rsidRPr="00094C5C">
        <w:rPr>
          <w:rFonts w:ascii="Arial" w:eastAsia="+mn-ea" w:hAnsi="Arial" w:cs="+mn-cs"/>
          <w:iCs/>
          <w:color w:val="000000"/>
          <w:kern w:val="24"/>
        </w:rPr>
        <w:t xml:space="preserve"> findings and significant overlap in symp</w:t>
      </w:r>
      <w:r>
        <w:rPr>
          <w:rFonts w:ascii="Arial" w:eastAsia="+mn-ea" w:hAnsi="Arial" w:cs="+mn-cs"/>
          <w:iCs/>
          <w:color w:val="000000"/>
          <w:kern w:val="24"/>
        </w:rPr>
        <w:t>toms.  I will</w:t>
      </w:r>
      <w:r w:rsidRPr="00094C5C">
        <w:rPr>
          <w:rFonts w:ascii="Arial" w:eastAsia="+mn-ea" w:hAnsi="Arial" w:cs="+mn-cs"/>
          <w:iCs/>
          <w:color w:val="000000"/>
          <w:kern w:val="24"/>
        </w:rPr>
        <w:t xml:space="preserve"> review the mechanism and how it relates to the phenotype in this individual.  </w:t>
      </w:r>
    </w:p>
    <w:p w:rsidR="00094C5C" w:rsidRPr="002132AC" w:rsidRDefault="002132AC" w:rsidP="002132AC">
      <w:pPr>
        <w:pStyle w:val="NormalWeb"/>
        <w:kinsoku w:val="0"/>
        <w:overflowPunct w:val="0"/>
        <w:spacing w:before="0" w:beforeAutospacing="0" w:after="0" w:afterAutospacing="0"/>
        <w:ind w:firstLine="720"/>
        <w:textAlignment w:val="baseline"/>
        <w:rPr>
          <w:rFonts w:ascii="Arial" w:eastAsia="+mn-ea" w:hAnsi="Arial" w:cs="+mn-cs"/>
          <w:iCs/>
          <w:color w:val="000000"/>
          <w:kern w:val="24"/>
        </w:rPr>
      </w:pPr>
      <w:r>
        <w:rPr>
          <w:rFonts w:ascii="Arial" w:eastAsia="+mn-ea" w:hAnsi="Arial" w:cs="+mn-cs"/>
          <w:iCs/>
          <w:color w:val="000000"/>
          <w:kern w:val="24"/>
        </w:rPr>
        <w:t>This case also illustrates the importance of international collaboration as it spans three countries.  The patient’s original evaluation took place in Italy, but it was completed at the NIH in the USA. Now w</w:t>
      </w:r>
      <w:r w:rsidR="004F1B99">
        <w:rPr>
          <w:rFonts w:ascii="Arial" w:eastAsia="+mn-ea" w:hAnsi="Arial" w:cs="+mn-cs"/>
          <w:iCs/>
          <w:color w:val="000000"/>
          <w:kern w:val="24"/>
        </w:rPr>
        <w:t xml:space="preserve">e are collaborating with the Nicholls investigators in Newcastle, England </w:t>
      </w:r>
      <w:r>
        <w:rPr>
          <w:rFonts w:ascii="Arial" w:eastAsia="+mn-ea" w:hAnsi="Arial" w:cs="+mn-cs"/>
          <w:iCs/>
          <w:color w:val="000000"/>
          <w:kern w:val="24"/>
        </w:rPr>
        <w:t xml:space="preserve">who had already established specific laboratory and fluoroscopy techniques which will serve to confirm the findings and further our understanding of this </w:t>
      </w:r>
      <w:r w:rsidR="007C2908">
        <w:rPr>
          <w:rFonts w:ascii="Arial" w:eastAsia="+mn-ea" w:hAnsi="Arial" w:cs="+mn-cs"/>
          <w:iCs/>
          <w:color w:val="000000"/>
          <w:kern w:val="24"/>
        </w:rPr>
        <w:t>newly appreciated topoisomerase</w:t>
      </w:r>
      <w:r>
        <w:rPr>
          <w:rFonts w:ascii="Arial" w:eastAsia="+mn-ea" w:hAnsi="Arial" w:cs="+mn-cs"/>
          <w:iCs/>
          <w:color w:val="000000"/>
          <w:kern w:val="24"/>
        </w:rPr>
        <w:t xml:space="preserve">.  </w:t>
      </w:r>
    </w:p>
    <w:p w:rsidR="00766593" w:rsidRPr="00094C5C" w:rsidRDefault="00766593">
      <w:pPr>
        <w:rPr>
          <w:sz w:val="24"/>
          <w:szCs w:val="24"/>
        </w:rPr>
      </w:pPr>
    </w:p>
    <w:sectPr w:rsidR="00766593" w:rsidRPr="00094C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C5C"/>
    <w:rsid w:val="00094C5C"/>
    <w:rsid w:val="0017470A"/>
    <w:rsid w:val="002132AC"/>
    <w:rsid w:val="003C5E16"/>
    <w:rsid w:val="004F1B99"/>
    <w:rsid w:val="00766593"/>
    <w:rsid w:val="007C24F4"/>
    <w:rsid w:val="007C2908"/>
    <w:rsid w:val="00B22423"/>
    <w:rsid w:val="00FD1F5A"/>
    <w:rsid w:val="00FE2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675AF0-D6AF-45B4-95C8-D906B9FD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4C5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69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Novacic, Donna (NIH/NHGRI) [E]</dc:creator>
  <cp:keywords/>
  <dc:description/>
  <cp:lastModifiedBy>Novacic, Donna (NIH/NHGRI) [E]</cp:lastModifiedBy>
  <cp:revision>2</cp:revision>
  <dcterms:created xsi:type="dcterms:W3CDTF">2019-02-22T15:05:00Z</dcterms:created>
  <dcterms:modified xsi:type="dcterms:W3CDTF">2019-02-22T15:05:00Z</dcterms:modified>
</cp:coreProperties>
</file>